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media/image_rId9_document.png" ContentType="image/png"/>
  <Override PartName="/word/media/image_rId10_document.png" ContentType="image/png"/>
  <Override PartName="/word/media/image_rId11_document.png" ContentType="image/png"/>
  <Override PartName="/word/media/image_rId16_document.png" ContentType="image/png"/>
  <Override PartName="/word/media/image_rId1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Cs/>
          <w:color w:val="000000"/>
          <w:sz w:val="32"/>
          <w:szCs w:val="32"/>
        </w:rPr>
        <w:t xml:space="preserve">Тестовый государственный университет</w:t>
      </w:r>
    </w:p>
    <w:p>
      <w:pPr>
        <w:pStyle w:val="Normal"/>
        <w:spacing w:lineRule="auto" w:line="240"/>
        <w:jc w:val="center"/>
        <w:rPr>
          <w:rFonts w:cs="Times New Roman"/>
          <w:bCs/>
          <w:color w:val="000000"/>
          <w:sz w:val="32"/>
          <w:szCs w:val="32"/>
        </w:rPr>
      </w:pPr>
      <w:r>
        <w:rPr>
          <w:rFonts w:cs="Times New Roman"/>
          <w:bCs/>
          <w:color w:val="000000"/>
          <w:sz w:val="32"/>
          <w:szCs w:val="32"/>
        </w:rPr>
      </w:r>
    </w:p>
    <w:p>
      <w:pPr>
        <w:pStyle w:val="Normal"/>
        <w:spacing w:lineRule="auto" w:line="240"/>
        <w:ind w:firstLine="709" w:left="4536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УТВЕРЖДЕН</w:t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</w:rPr>
      </w:pPr>
      <w:r>
        <w:rPr>
          <w:rFonts w:cs="Times New Roman"/>
        </w:rPr>
        <w:t xml:space="preserve">от «___» __________ 202__ г. №</w:t>
      </w:r>
      <w:r>
        <w:rPr>
          <w:rFonts w:cs="Times New Roman"/>
          <w:u w:val="single"/>
        </w:rPr>
        <w:tab/>
      </w:r>
    </w:p>
    <w:p>
      <w:pPr>
        <w:pStyle w:val="Normal"/>
        <w:tabs>
          <w:tab w:val="clear" w:pos="709"/>
          <w:tab w:val="left" w:pos="7371" w:leader="none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 xml:space="preserve"> </w:t>
      </w:r>
      <w:r>
        <w:rPr>
          <w:rFonts w:cs="Times New Roman"/>
          <w:bCs/>
          <w:color w:val="000000"/>
          <w:u w:val="single"/>
        </w:rPr>
        <w:tab/>
        <w:tab/>
      </w:r>
    </w:p>
    <w:p>
      <w:pPr>
        <w:pStyle w:val="Normal"/>
        <w:spacing w:lineRule="auto" w:line="24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bookmarkStart w:id="0" w:name="__DdeLink__51119_1086991998"/>
      <w:bookmarkEnd w:id="0"/>
      <w:r>
        <w:rPr>
          <w:rFonts w:cs="Times New Roman"/>
          <w:b/>
          <w:sz w:val="44"/>
          <w:szCs w:val="44"/>
        </w:rPr>
        <w:t xml:space="preserve"> </w:t>
      </w:r>
      <w:r>
        <w:rPr>
          <w:rFonts w:cs="Times New Roman"/>
          <w:b/>
          <w:sz w:val="44"/>
          <w:szCs w:val="44"/>
        </w:rPr>
        <w:t xml:space="preserve">АНАЛИТИЧЕСКИЙ ОТЧЁТ </w:t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О РЕЗУЛЬТАТАХ УДОВЛЕТВОРЁННОСТИ </w:t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СТУДЕНТОВ ПО ГРУППЕ ОБРАЗОВАТЕЛЬНЫХ ПРОГРАММ</w:t>
      </w:r>
      <w:r>
        <w:br w:type="page"/>
      </w:r>
    </w:p>
    <w:p>
      <w:pPr>
        <w:pStyle w:val="Normal"/>
        <w:spacing w:before="0"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Введение</w:t>
      </w:r>
    </w:p>
    <w:p>
      <w:pPr/>
      <w:r>
        <w:rPr/>
        <w:t xml:space="preserve">Исследование проводилось в рамках внутренней оценки качества образовательной деятельности и подготовки обучающихся по группе образовательных программ  «01.03.02 Программирование, математическое моделирование», «03.05.06 Информационные технологии в технических системах» с целью обеспечения выполнения требований федеральных государственных образовательных стандартов высшего образования (далее ФГОС ВО), а также в соответствии с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№ 660/306/448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образования» и Приказом Федеральной службы по надзору в сфере образования и науки от 18.04.2023 № 409 «Об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образования».</w:t>
      </w:r>
    </w:p>
    <w:p>
      <w:pPr/>
      <w:r>
        <w:rPr/>
        <w:t xml:space="preserve">В соответствии с пунктом 4.6.2 ФГОС ВО, по программам бакалавриата, специалитета, магистратуры 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/>
      <w:r>
        <w:rPr/>
        <w:t xml:space="preserve">Настоящий отчёт представляет собой описательно-аналитический доклад по результатам анкетирования, которое проводилось среди студентов.</w:t>
      </w:r>
    </w:p>
    <w:p>
      <w:pPr/>
      <w:r>
        <w:rPr>
          <w:b w:val="1"/>
          <w:bCs w:val="1"/>
        </w:rPr>
        <w:t xml:space="preserve">Цель исследования</w:t>
      </w:r>
      <w:r>
        <w:rPr/>
        <w:t xml:space="preserve"> – определение уровня удовлетворённости организацией учебного процесса и внеучебной деятельности студентов, обучающихся по следующим образовательным программам: «01.03.02 Программирование, математическое моделирование», «03.05.06 Информационные технологии в технических системах».</w:t>
      </w:r>
    </w:p>
    <w:p>
      <w:pPr/>
      <w:r>
        <w:rPr>
          <w:b w:val="1"/>
          <w:bCs w:val="1"/>
        </w:rPr>
        <w:t xml:space="preserve">Задачи исследования:</w:t>
      </w:r>
      <w:r>
        <w:rPr/>
        <w:t xml:space="preserve"> выявить удовлетворённость студентов организацией учебного процесса (УП), выявить удовлетворённость студентов организацией внеучебной деятельности (ВД) в вузе.</w:t>
      </w:r>
    </w:p>
    <w:p>
      <w:pPr/>
      <w:r>
        <w:rPr>
          <w:b w:val="1"/>
          <w:bCs w:val="1"/>
        </w:rPr>
        <w:t xml:space="preserve">Тип выборки:</w:t>
      </w:r>
      <w:r>
        <w:rPr/>
        <w:t xml:space="preserve"> случайная бесповторная.</w:t>
      </w:r>
    </w:p>
    <w:p>
      <w:pPr/>
      <w:r>
        <w:rPr/>
        <w:t xml:space="preserve">В анкетировании принял(-и) участие 2 студент(-а,-ов).</w:t>
      </w:r>
    </w:p>
    <w:p>
      <w:pPr/>
      <w:r>
        <w:rPr/>
        <w:t xml:space="preserve">Полученные данные будут использованы для разработки мер по улучшению условий обучения, повышению уровня качества преподавания и обеспечению удовлетворённости участников образовательного процесса.</w:t>
      </w:r>
    </w:p>
    <w:p>
      <w:pPr/>
      <w:r>
        <w:rPr/>
        <w:t xml:space="preserve">Таким образом, Тестовый государственный университет провёл исследование, которое стало важным шагом в создании более эффективной и комфортной среды для обучения и развития студентов.</w:t>
      </w:r>
    </w:p>
    <w:p>
      <w:pPr/>
    </w:p>
    <w:p>
      <w:pPr/>
    </w:p>
    <w:p>
      <w:pPr>
        <w:pStyle w:val="Heading1"/>
        <w:spacing w:before="0" w:after="0"/>
        <w:jc w:val="center"/>
        <w:rPr/>
      </w:pPr>
      <w:bookmarkStart w:id="4" w:name="__RefHeading___Toc181971654"/>
      <w:bookmarkStart w:id="5" w:name="_heading=h.scaktgr9h5cv"/>
      <w:bookmarkEnd w:id="4"/>
      <w:bookmarkEnd w:id="5"/>
      <w:r>
        <w:rPr>
          <w:rStyle w:val="3"/>
          <w:sz w:val="28"/>
          <w:szCs w:val="28"/>
        </w:rPr>
        <w:t xml:space="preserve">АНАЛИЗ РАСПРЕДЕЛЕНИЯ УРОВНЯ УДОВЛЕТВОРЁННОСТИ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  <w:t xml:space="preserve">В данном разделе приводятся количественные показатели уровня удовлетворённости респондентов, принимавших участие в анкетировании. В качестве оценки уровня удовлетворённости респондентов принято среднее значение по каждому показателю.</w:t>
      </w:r>
    </w:p>
    <w:p>
      <w:pPr>
        <w:pStyle w:val="Normal"/>
        <w:rPr/>
      </w:pPr>
      <w:r>
        <w:rPr>
          <w:rStyle w:val="3"/>
          <w:b w:val="false"/>
          <w:bCs w:val="false"/>
        </w:rPr>
        <w:t xml:space="preserve">Критериальное значение показателя уровня удовлетворённости по каждому вопросу анкеты оценивается по следующей шкале: 0-25 % – низкий уровень удовлетворённости, 26-50 % – средний уровень удовлетворённости, 51-75 % – повышенный уровень удовлетворённости, 76-100 % – высокий уровень удовлетворённости.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Общая характеристика студентов</w:t>
      </w:r>
      <w:bookmarkEnd w:id="6"/>
      <w:bookmarkEnd w:id="7"/>
    </w:p>
    <w:p>
      <w:pPr>
        <w:pStyle w:val="BodyText"/>
        <w:ind w:hanging="57" w:left="57"/>
        <w:jc w:val="center"/>
        <w:rPr>
          <w:lang w:val="en-US"/>
        </w:rPr>
      </w:pPr>
      <w:r>
        <w:rPr>
          <w:lang w:val="en-US"/>
        </w:rPr>
        <w:t xml:space="preserve"/>
        <w:pict>
          <v:shape type="#_x0000_t75" style="width:170mm;height:80mm" stroked="f" filled="f">
            <v:imagedata r:id="rId9" o:title=""/>
          </v:shape>
        </w:pict>
        <w:t xml:space="preserve"/>
      </w:r>
      <w:bookmarkEnd w:id="10"/>
    </w:p>
    <w:p>
      <w:pPr>
        <w:pStyle w:val="BodyText"/>
        <w:ind w:hanging="57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1 - Распределение ответов на вопрос: </w:t>
      </w:r>
      <w:br/>
      <w:r>
        <w:rPr>
          <w:sz w:val="22"/>
          <w:szCs w:val="22"/>
        </w:rPr>
        <w:t xml:space="preserve">«Укажите ваш курс»</w:t>
      </w:r>
    </w:p>
    <w:p>
      <w:pPr/>
      <w:r>
        <w:rPr/>
        <w:t xml:space="preserve">Рисунок 1 представляет процентное распределение студентов. Преобладающее число студентов – 100% - выбрал(-и) ответ на вопрос: «1 курс». 0% ответил(-и): «2 курс», 0% ответил(-и): «3 курс», 0% ответил(-и): «4 курс», 0% ответил(-и): «5 курс». Общее количество студентов, участвовавших в анкетировании, равно 2.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18" w:name="__DdeLink__8277_2310833969"/>
      <w:r>
        <w:rPr>
          <w:rFonts w:ascii="Times New Roman" w:hAnsi="Times New Roman"/>
          <w:lang w:val="en-US"/>
        </w:rPr>
        <w:t xml:space="preserve">2. 2. Удовлетворённость студентов по выборкам</w:t>
      </w:r>
      <w:bookmarkEnd w:id="18"/>
      <w:bookmarkEnd w:id="19"/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25" w:name="__DdeLink__8277_2310833969_Copy_3"/>
      <w:r>
        <w:rPr>
          <w:rFonts w:ascii="Times New Roman" w:hAnsi="Times New Roman"/>
          <w:sz w:val="26"/>
          <w:szCs w:val="26"/>
          <w:lang w:val="en-US"/>
        </w:rPr>
        <w:t xml:space="preserve">2.1 Степень удовлетворённости студентов, выбравших вариант ответа «1 курс» на вопрос: «Укажите ваш курс»</w:t>
      </w:r>
      <w:bookmarkEnd w:id="25"/>
      <w:bookmarkEnd w:id="27"/>
    </w:p>
    <w:p>
      <w:pPr/>
      <w:r>
        <w:rPr/>
        <w:t xml:space="preserve">По итогам анкетирования 2 из 2 студентов на вопрос: «Укажите ваш курс», – ответил(-и) «1 курс», что составляет 100% от общего числа студентов.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2.1.1 По блоку вопросов «Удовлетворённость организацией учебного процесса»</w:t>
      </w:r>
      <w:bookmarkEnd w:id="41"/>
      <w:bookmarkEnd w:id="42"/>
      <w:bookmarkEnd w:id="49"/>
    </w:p>
    <w:p>
      <w:pPr>
        <w:pStyle w:val="Normal"/>
        <w:ind w:hanging="0" w:left="57"/>
        <w:jc w:val="center"/>
        <w:rPr>
          <w:lang w:val="en-US"/>
        </w:rPr>
      </w:pPr>
      <w:bookmarkStart w:id="51" w:name="__DdeLink__8277_2310833969_Copy_1_Copy_3"/>
      <w:r>
        <w:rPr>
          <w:lang w:val="en-US"/>
        </w:rPr>
        <w:t xml:space="preserve"/>
        <w:pict>
          <v:shape type="#_x0000_t75" style="width:170mm;height:80mm" stroked="f" filled="f">
            <v:imagedata r:id="rId10" o:title=""/>
          </v:shape>
        </w:pict>
        <w:t xml:space="preserve"/>
      </w:r>
      <w:bookmarkEnd w:id="51"/>
      <w:bookmarkEnd w:id="57"/>
      <w:bookmarkEnd w:id="60"/>
    </w:p>
    <w:p>
      <w:pPr>
        <w:pStyle w:val="Normal"/>
        <w:ind w:hanging="0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2.1.1 - Распределение показателей уровня удовлетворённости по блоку вопросов «Удовлетворённость организацией учебного процесса» для студентов, выбравших вариант ответа «1 курс» на вопрос: «Укажите ваш курс»</w:t>
      </w:r>
      <w:bookmarkEnd w:id="62"/>
    </w:p>
    <w:p>
      <w:pPr/>
      <w:r>
        <w:rPr/>
        <w:t xml:space="preserve">Результаты анкетирования студентов показывают, что критериальные значения уровня удовлетворённости распределены следующим образом: </w:t>
      </w:r>
    </w:p>
    <w:p>
      <w:pPr/>
      <w:r>
        <w:rPr/>
        <w:t xml:space="preserve">Низкий уровень удовлетворённости не выявлен ни по одному вопросу.</w:t>
      </w:r>
    </w:p>
    <w:p>
      <w:pPr/>
      <w:r>
        <w:rPr/>
        <w:t xml:space="preserve">Средний уровень удовлетворённости не выявлен ни по одному вопросу.</w:t>
      </w:r>
    </w:p>
    <w:p>
      <w:pPr/>
      <w:r>
        <w:rPr/>
        <w:t xml:space="preserve">Повышенный уровень удовлетворённости отмечен по вопросу «Оцените профессиональную компетентность преподавателей».</w:t>
      </w:r>
    </w:p>
    <w:p>
      <w:pPr/>
      <w:r>
        <w:rPr/>
        <w:t xml:space="preserve">Высокий уровень удовлетворённости отмечен по вопросу «Оцените доступность учебной и методической литературы в библиотеке и в электронной образовательной среде (например, на платформе Moodle)».</w:t>
      </w:r>
    </w:p>
    <w:p>
      <w:pPr/>
      <w:r>
        <w:rPr/>
        <w:t xml:space="preserve">Индекс удовлетворённости по блоку вопросов «Удовлетворённость организацией учебного процесса» среди студентов, выбравших вариант ответа «1 курс» на вопрос: «Укажите ваш курс», – равен 7.25.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2.1.2 По блоку вопросов «Группа 2»</w:t>
      </w:r>
      <w:bookmarkEnd w:id="41"/>
      <w:bookmarkEnd w:id="42"/>
      <w:bookmarkEnd w:id="49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25" w:name="__DdeLink__8277_2310833969_Copy_3"/>
      <w:r>
        <w:rPr>
          <w:rFonts w:ascii="Times New Roman" w:hAnsi="Times New Roman"/>
          <w:sz w:val="26"/>
          <w:szCs w:val="26"/>
          <w:lang w:val="en-US"/>
        </w:rPr>
        <w:t xml:space="preserve">2.2 Степень удовлетворённости студентов, выбравших вариант ответа «2 курс» на вопрос: «Укажите ваш курс»</w:t>
      </w:r>
      <w:bookmarkEnd w:id="25"/>
      <w:bookmarkEnd w:id="27"/>
    </w:p>
    <w:p>
      <w:pPr/>
      <w:r>
        <w:rPr/>
        <w:t xml:space="preserve">По итогам анкетирования 0 из 2 студентов на вопрос: «Укажите ваш курс», – ответил(-и) «2 курс», что составляет 0% от общего числа студентов.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2.2.1 По блоку вопросов «Удовлетворённость организацией учебного процесса»</w:t>
      </w:r>
      <w:bookmarkEnd w:id="41"/>
      <w:bookmarkEnd w:id="42"/>
      <w:bookmarkEnd w:id="49"/>
    </w:p>
    <w:p>
      <w:pPr>
        <w:pStyle w:val="Normal"/>
        <w:ind w:hanging="0" w:left="57"/>
        <w:jc w:val="center"/>
        <w:rPr>
          <w:lang w:val="en-US"/>
        </w:rPr>
      </w:pPr>
      <w:bookmarkStart w:id="51" w:name="__DdeLink__8277_2310833969_Copy_1_Copy_3"/>
      <w:r>
        <w:rPr>
          <w:lang w:val="en-US"/>
        </w:rPr>
        <w:t xml:space="preserve"/>
        <w:pict>
          <v:shape type="#_x0000_t75" style="width:170mm;height:80mm" stroked="f" filled="f">
            <v:imagedata r:id="rId11" o:title=""/>
          </v:shape>
        </w:pict>
        <w:t xml:space="preserve"/>
      </w:r>
      <w:bookmarkEnd w:id="51"/>
      <w:bookmarkEnd w:id="57"/>
      <w:bookmarkEnd w:id="60"/>
    </w:p>
    <w:p>
      <w:pPr>
        <w:pStyle w:val="Normal"/>
        <w:ind w:hanging="0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2.2.1 - Распределение показателей уровня удовлетворённости по блоку вопросов «Удовлетворённость организацией учебного процесса» для студентов, выбравших вариант ответа «2 курс» на вопрос: «Укажите ваш курс»</w:t>
      </w:r>
      <w:bookmarkEnd w:id="62"/>
    </w:p>
    <w:p>
      <w:pPr/>
      <w:r>
        <w:rPr/>
        <w:t xml:space="preserve">На вопросы: «Оцените профессиональную компетентность преподавателей», «Оцените доступность учебной и методической литературы в библиотеке и в электронной образовательной среде (например, на платформе Moodle)», – респонденты не дали ни одного ответа.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2.2.2 По блоку вопросов «Группа 2»</w:t>
      </w:r>
      <w:bookmarkEnd w:id="41"/>
      <w:bookmarkEnd w:id="42"/>
      <w:bookmarkEnd w:id="49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25" w:name="__DdeLink__8277_2310833969_Copy_3"/>
      <w:r>
        <w:rPr>
          <w:rFonts w:ascii="Times New Roman" w:hAnsi="Times New Roman"/>
          <w:sz w:val="26"/>
          <w:szCs w:val="26"/>
          <w:lang w:val="en-US"/>
        </w:rPr>
        <w:t xml:space="preserve">2.3 Степень удовлетворённости студентов, выбравших вариант ответа «3 курс» на вопрос: «Укажите ваш курс»</w:t>
      </w:r>
      <w:bookmarkEnd w:id="25"/>
      <w:bookmarkEnd w:id="27"/>
    </w:p>
    <w:p>
      <w:pPr/>
      <w:r>
        <w:rPr/>
        <w:t xml:space="preserve">По итогам анкетирования 0 из 2 студентов на вопрос: «Укажите ваш курс», – ответил(-и) «3 курс», что составляет 0% от общего числа студентов.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2.3.1 По блоку вопросов «Удовлетворённость организацией учебного процесса»</w:t>
      </w:r>
      <w:bookmarkEnd w:id="41"/>
      <w:bookmarkEnd w:id="42"/>
      <w:bookmarkEnd w:id="49"/>
    </w:p>
    <w:p>
      <w:pPr>
        <w:pStyle w:val="Normal"/>
        <w:ind w:hanging="0" w:left="57"/>
        <w:jc w:val="center"/>
        <w:rPr>
          <w:lang w:val="en-US"/>
        </w:rPr>
      </w:pPr>
      <w:bookmarkStart w:id="51" w:name="__DdeLink__8277_2310833969_Copy_1_Copy_3"/>
      <w:r>
        <w:rPr>
          <w:lang w:val="en-US"/>
        </w:rPr>
        <w:t xml:space="preserve"/>
        <w:pict>
          <v:shape type="#_x0000_t75" style="width:170mm;height:80mm" stroked="f" filled="f">
            <v:imagedata r:id="rId12" o:title=""/>
          </v:shape>
        </w:pict>
        <w:t xml:space="preserve"/>
      </w:r>
      <w:bookmarkEnd w:id="51"/>
      <w:bookmarkEnd w:id="57"/>
      <w:bookmarkEnd w:id="60"/>
    </w:p>
    <w:p>
      <w:pPr>
        <w:pStyle w:val="Normal"/>
        <w:ind w:hanging="0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2.3.1 - Распределение показателей уровня удовлетворённости по блоку вопросов «Удовлетворённость организацией учебного процесса» для студентов, выбравших вариант ответа «3 курс» на вопрос: «Укажите ваш курс»</w:t>
      </w:r>
      <w:bookmarkEnd w:id="62"/>
    </w:p>
    <w:p>
      <w:pPr/>
      <w:r>
        <w:rPr/>
        <w:t xml:space="preserve">На вопросы: «Оцените профессиональную компетентность преподавателей», «Оцените доступность учебной и методической литературы в библиотеке и в электронной образовательной среде (например, на платформе Moodle)», – респонденты не дали ни одного ответа.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2.3.2 По блоку вопросов «Группа 2»</w:t>
      </w:r>
      <w:bookmarkEnd w:id="41"/>
      <w:bookmarkEnd w:id="42"/>
      <w:bookmarkEnd w:id="49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25" w:name="__DdeLink__8277_2310833969_Copy_3"/>
      <w:r>
        <w:rPr>
          <w:rFonts w:ascii="Times New Roman" w:hAnsi="Times New Roman"/>
          <w:sz w:val="26"/>
          <w:szCs w:val="26"/>
          <w:lang w:val="en-US"/>
        </w:rPr>
        <w:t xml:space="preserve">2.4 Степень удовлетворённости студентов, выбравших вариант ответа «4 курс» на вопрос: «Укажите ваш курс»</w:t>
      </w:r>
      <w:bookmarkEnd w:id="25"/>
      <w:bookmarkEnd w:id="27"/>
    </w:p>
    <w:p>
      <w:pPr/>
      <w:r>
        <w:rPr/>
        <w:t xml:space="preserve">По итогам анкетирования 0 из 2 студентов на вопрос: «Укажите ваш курс», – ответил(-и) «4 курс», что составляет 0% от общего числа студентов.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2.4.1 По блоку вопросов «Удовлетворённость организацией учебного процесса»</w:t>
      </w:r>
      <w:bookmarkEnd w:id="41"/>
      <w:bookmarkEnd w:id="42"/>
      <w:bookmarkEnd w:id="49"/>
    </w:p>
    <w:p>
      <w:pPr>
        <w:pStyle w:val="Normal"/>
        <w:ind w:hanging="0" w:left="57"/>
        <w:jc w:val="center"/>
        <w:rPr>
          <w:lang w:val="en-US"/>
        </w:rPr>
      </w:pPr>
      <w:bookmarkStart w:id="51" w:name="__DdeLink__8277_2310833969_Copy_1_Copy_3"/>
      <w:r>
        <w:rPr>
          <w:lang w:val="en-US"/>
        </w:rPr>
        <w:t xml:space="preserve"/>
        <w:pict>
          <v:shape type="#_x0000_t75" style="width:170mm;height:80mm" stroked="f" filled="f">
            <v:imagedata r:id="rId13" o:title=""/>
          </v:shape>
        </w:pict>
        <w:t xml:space="preserve"/>
      </w:r>
      <w:bookmarkEnd w:id="51"/>
      <w:bookmarkEnd w:id="57"/>
      <w:bookmarkEnd w:id="60"/>
    </w:p>
    <w:p>
      <w:pPr>
        <w:pStyle w:val="Normal"/>
        <w:ind w:hanging="0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2.4.1 - Распределение показателей уровня удовлетворённости по блоку вопросов «Удовлетворённость организацией учебного процесса» для студентов, выбравших вариант ответа «4 курс» на вопрос: «Укажите ваш курс»</w:t>
      </w:r>
      <w:bookmarkEnd w:id="62"/>
    </w:p>
    <w:p>
      <w:pPr/>
      <w:r>
        <w:rPr/>
        <w:t xml:space="preserve">На вопросы: «Оцените профессиональную компетентность преподавателей», «Оцените доступность учебной и методической литературы в библиотеке и в электронной образовательной среде (например, на платформе Moodle)», – респонденты не дали ни одного ответа.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2.4.2 По блоку вопросов «Группа 2»</w:t>
      </w:r>
      <w:bookmarkEnd w:id="41"/>
      <w:bookmarkEnd w:id="42"/>
      <w:bookmarkEnd w:id="49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25" w:name="__DdeLink__8277_2310833969_Copy_3"/>
      <w:r>
        <w:rPr>
          <w:rFonts w:ascii="Times New Roman" w:hAnsi="Times New Roman"/>
          <w:sz w:val="26"/>
          <w:szCs w:val="26"/>
          <w:lang w:val="en-US"/>
        </w:rPr>
        <w:t xml:space="preserve">2.5 Степень удовлетворённости студентов, выбравших вариант ответа «5 курс» на вопрос: «Укажите ваш курс»</w:t>
      </w:r>
      <w:bookmarkEnd w:id="25"/>
      <w:bookmarkEnd w:id="27"/>
    </w:p>
    <w:p>
      <w:pPr/>
      <w:r>
        <w:rPr/>
        <w:t xml:space="preserve">По итогам анкетирования 0 из 2 студентов на вопрос: «Укажите ваш курс», – ответил(-и) «5 курс», что составляет 0% от общего числа студентов.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2.5.1 По блоку вопросов «Удовлетворённость организацией учебного процесса»</w:t>
      </w:r>
      <w:bookmarkEnd w:id="41"/>
      <w:bookmarkEnd w:id="42"/>
      <w:bookmarkEnd w:id="49"/>
    </w:p>
    <w:p>
      <w:pPr>
        <w:pStyle w:val="Normal"/>
        <w:ind w:hanging="0" w:left="57"/>
        <w:jc w:val="center"/>
        <w:rPr>
          <w:lang w:val="en-US"/>
        </w:rPr>
      </w:pPr>
      <w:bookmarkStart w:id="51" w:name="__DdeLink__8277_2310833969_Copy_1_Copy_3"/>
      <w:r>
        <w:rPr>
          <w:lang w:val="en-US"/>
        </w:rPr>
        <w:t xml:space="preserve"/>
        <w:pict>
          <v:shape type="#_x0000_t75" style="width:170mm;height:80mm" stroked="f" filled="f">
            <v:imagedata r:id="rId14" o:title=""/>
          </v:shape>
        </w:pict>
        <w:t xml:space="preserve"/>
      </w:r>
      <w:bookmarkEnd w:id="51"/>
      <w:bookmarkEnd w:id="57"/>
      <w:bookmarkEnd w:id="60"/>
    </w:p>
    <w:p>
      <w:pPr>
        <w:pStyle w:val="Normal"/>
        <w:ind w:hanging="0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2.5.1 - Распределение показателей уровня удовлетворённости по блоку вопросов «Удовлетворённость организацией учебного процесса» для студентов, выбравших вариант ответа «5 курс» на вопрос: «Укажите ваш курс»</w:t>
      </w:r>
      <w:bookmarkEnd w:id="62"/>
    </w:p>
    <w:p>
      <w:pPr/>
      <w:r>
        <w:rPr/>
        <w:t xml:space="preserve">На вопросы: «Оцените профессиональную компетентность преподавателей», «Оцените доступность учебной и методической литературы в библиотеке и в электронной образовательной среде (например, на платформе Moodle)», – респонденты не дали ни одного ответа.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41" w:name="__DdeLink__8277_2310833969_Copy_1_Copy_2"/>
      <w:r>
        <w:rPr>
          <w:rFonts w:ascii="Times New Roman" w:hAnsi="Times New Roman"/>
          <w:sz w:val="26"/>
          <w:szCs w:val="26"/>
          <w:lang w:val="en-US"/>
        </w:rPr>
        <w:t xml:space="preserve">2.5.2 По блоку вопросов «Группа 2»</w:t>
      </w:r>
      <w:bookmarkEnd w:id="41"/>
      <w:bookmarkEnd w:id="42"/>
      <w:bookmarkEnd w:id="49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80" w:name="__DdeLink__8277_2310833969_Copy_1_Copy_5"/>
      <w:r>
        <w:rPr>
          <w:rFonts w:ascii="Times New Roman" w:hAnsi="Times New Roman"/>
          <w:lang w:val="en-US"/>
        </w:rPr>
        <w:t xml:space="preserve">3. Сопоставительный анализ ответов студентов по выборкам</w:t>
      </w:r>
      <w:bookmarkEnd w:id="80"/>
      <w:bookmarkEnd w:id="82"/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88" w:name="__DdeLink__8277_2310833969_Copy_1_Copy_7"/>
      <w:bookmarkStart w:id="89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3.1 Уровень удовлетворённости студентов по блоку вопросов «Удовлетворённость организацией учебного процесса»</w:t>
      </w:r>
      <w:bookmarkEnd w:id="88"/>
      <w:bookmarkEnd w:id="89"/>
      <w:bookmarkEnd w:id="96"/>
      <w:bookmarkEnd w:id="97"/>
    </w:p>
    <w:p>
      <w:pPr>
        <w:pStyle w:val="Normal"/>
        <w:ind w:hanging="0" w:left="57"/>
        <w:jc w:val="center"/>
        <w:rPr>
          <w:lang w:val="en-US"/>
        </w:rPr>
      </w:pPr>
      <w:bookmarkStart w:id="98" w:name="__DdeLink__8277_2310833969_Copy_1_Copy_8"/>
      <w:r>
        <w:rPr>
          <w:rFonts w:eastAsia="Noto Sans CJK SC" w:cs="NotoSans NF"/>
          <w:lang w:val="en-US"/>
        </w:rPr>
        <w:t xml:space="preserve"/>
        <w:pict>
          <v:shape type="#_x0000_t75" style="width:170mm;height:80mm" stroked="f" filled="f">
            <v:imagedata r:id="rId15" o:title=""/>
          </v:shape>
        </w:pict>
        <w:t xml:space="preserve"/>
      </w:r>
      <w:bookmarkEnd w:id="98"/>
      <w:bookmarkEnd w:id="106"/>
      <w:bookmarkEnd w:id="108"/>
    </w:p>
    <w:p>
      <w:pPr>
        <w:pStyle w:val="Normal"/>
        <w:ind w:hanging="0" w:left="57"/>
        <w:jc w:val="center"/>
        <w:rPr>
          <w:lang w:val="en-US"/>
        </w:rPr>
      </w:pPr>
      <w:bookmarkStart w:id="109" w:name="__DdeLink__8277_2310833969_Copy_1_Copy_9"/>
      <w:r>
        <w:rPr>
          <w:sz w:val="22"/>
          <w:szCs w:val="22"/>
        </w:rPr>
        <w:t xml:space="preserve">Рисунок 3.1.1 - Распределение показателей уровня удовлетворённости всех студентов по блоку вопросов «Удовлетворённость организацией учебного процесса»</w:t>
      </w:r>
      <w:bookmarkEnd w:id="109"/>
      <w:bookmarkEnd w:id="114"/>
      <w:bookmarkEnd w:id="117"/>
    </w:p>
    <w:p>
      <w:pPr/>
      <w:r>
        <w:rPr/>
        <w:t xml:space="preserve">Индекс удовлетворённости по блоку вопросов «Удовлетворённость организацией учебного процесса» равен 7.25.</w:t>
      </w:r>
    </w:p>
    <w:p>
      <w:pPr/>
      <w:r>
        <w:rPr/>
        <w:t xml:space="preserve">Результаты анкетирования студентов по исследуемым образовательным программам показывают, что критериальные значения уровня удовлетворённости распределены следующим образом:</w:t>
      </w:r>
    </w:p>
    <w:p>
      <w:pPr/>
      <w:r>
        <w:rPr/>
        <w:t xml:space="preserve">Низкий уровень удовлетворённости не выявлен ни по одному вопросу.</w:t>
      </w:r>
    </w:p>
    <w:p>
      <w:pPr/>
      <w:r>
        <w:rPr/>
        <w:t xml:space="preserve">Средний уровень удовлетворённости не выявлен ни по одному вопросу.</w:t>
      </w:r>
    </w:p>
    <w:p>
      <w:pPr/>
      <w:r>
        <w:rPr/>
        <w:t xml:space="preserve">Повышенный уровень удовлетворённости отмечен по вопросу «Оцените профессиональную компетентность преподавателей».</w:t>
      </w:r>
    </w:p>
    <w:p>
      <w:pPr/>
      <w:r>
        <w:rPr/>
        <w:t xml:space="preserve">Высокий уровень удовлетворённости отмечен по вопросу «Оцените доступность учебной и методической литературы в библиотеке и в электронной образовательной среде (например, на платформе Moodle)».</w:t>
      </w:r>
    </w:p>
    <w:p>
      <w:pPr/>
      <w:r>
        <w:rPr/>
        <w:t xml:space="preserve">Ответы на открытый вопрос «Открытый вопрос 1» не учитываются при расчете индекса удовлетворённости студентов и представлены в главе 7 «Ответы на открытые вопросы».</w:t>
      </w:r>
    </w:p>
    <w:p>
      <w:pPr>
        <w:pStyle w:val="Normal"/>
        <w:ind w:hanging="0" w:left="57"/>
        <w:jc w:val="center"/>
        <w:rPr>
          <w:lang w:val="en-US"/>
        </w:rPr>
      </w:pPr>
      <w:bookmarkStart w:id="131" w:name="__DdeLink__8277_2310833969_Copy_1_Copy_b"/>
      <w:r>
        <w:rPr>
          <w:rFonts w:eastAsia="Noto Sans CJK SC" w:cs="NotoSans NF"/>
          <w:lang w:val="en-US"/>
        </w:rPr>
        <w:t xml:space="preserve"/>
        <w:pict>
          <v:shape type="#_x0000_t75" style="width:168mm;height:79.058823529412mm" stroked="f" filled="f">
            <v:imagedata r:id="rId16" o:title=""/>
          </v:shape>
        </w:pict>
        <w:t xml:space="preserve"/>
      </w:r>
      <w:bookmarkEnd w:id="131"/>
      <w:bookmarkEnd w:id="133"/>
      <w:bookmarkEnd w:id="141"/>
    </w:p>
    <w:p>
      <w:pPr>
        <w:pStyle w:val="Normal"/>
        <w:ind w:hanging="0" w:left="57"/>
        <w:jc w:val="center"/>
        <w:rPr>
          <w:lang w:val="en-US"/>
        </w:rPr>
      </w:pPr>
      <w:bookmarkStart w:id="143" w:name="__DdeLink__8277_2310833969_Copy_1_Copy_c"/>
      <w:r>
        <w:rPr>
          <w:sz w:val="22"/>
          <w:szCs w:val="22"/>
        </w:rPr>
        <w:t xml:space="preserve">Рисунок 3.1.2 - Распределение показателей уровня удовлетворённости по блоку вопросов «Удовлетворённость организацией учебного процесса»</w:t>
      </w:r>
      <w:bookmarkEnd w:id="143"/>
      <w:bookmarkEnd w:id="144"/>
      <w:bookmarkEnd w:id="145"/>
    </w:p>
    <w:p>
      <w:pPr/>
      <w:r>
        <w:rPr/>
        <w:t xml:space="preserve">Результаты анкетирования студентов показывают, что максимальные и минимальные оценки критериальных значений уровня удовлетворённости распределены следующим образом:</w:t>
      </w:r>
    </w:p>
    <w:p>
      <w:pPr/>
      <w:r>
        <w:rPr/>
        <w:t xml:space="preserve">Опрос студентов, ответивших «1 курс» на вопрос: «Укажите ваш курс», – показывает наибольший уровень удовлетворённости по вопросу «Оцените доступность учебной и методической литературы в библиотеке и в электронной образовательной среде (например, на платформе Moodle)», а наименьший уровень – по вопросу «Оцените профессиональную компетентность преподавателей».</w:t>
      </w:r>
    </w:p>
    <w:p>
      <w:pPr/>
      <w:r>
        <w:rPr/>
        <w:t xml:space="preserve">По результатам анкетирования невозможно оценить наибольший и наименьший уровень удовлетворённости студентов, ответивших «2 курс» на вопрос: «Укажите ваш курс».</w:t>
      </w:r>
    </w:p>
    <w:p>
      <w:pPr/>
      <w:r>
        <w:rPr/>
        <w:t xml:space="preserve">По результатам анкетирования невозможно оценить наибольший и наименьший уровень удовлетворённости студентов, ответивших «3 курс» на вопрос: «Укажите ваш курс».</w:t>
      </w:r>
    </w:p>
    <w:p>
      <w:pPr/>
      <w:r>
        <w:rPr/>
        <w:t xml:space="preserve">По результатам анкетирования невозможно оценить наибольший и наименьший уровень удовлетворённости студентов, ответивших «4 курс» на вопрос: «Укажите ваш курс».</w:t>
      </w:r>
    </w:p>
    <w:p>
      <w:pPr/>
      <w:r>
        <w:rPr/>
        <w:t xml:space="preserve">По результатам анкетирования невозможно оценить наибольший и наименьший уровень удовлетворённости студентов, ответивших «5 курс» на вопрос: «Укажите ваш курс».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88" w:name="__DdeLink__8277_2310833969_Copy_1_Copy_7"/>
      <w:bookmarkStart w:id="89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3.2 Уровень удовлетворённости студентов по блоку вопросов «Группа 2»</w:t>
      </w:r>
      <w:bookmarkEnd w:id="88"/>
      <w:bookmarkEnd w:id="89"/>
      <w:bookmarkEnd w:id="96"/>
      <w:bookmarkEnd w:id="97"/>
    </w:p>
    <w:p>
      <w:pPr/>
      <w:r>
        <w:rPr/>
        <w:t xml:space="preserve">Блок «Группа 2» включает в себя только вопросы открытого типа: «Открытый вопрос 2», «Открытый вопрос 3». Индекс удовлетворенности студентов по данной группе вопросов не может быть рассчитан. Ответы респондентов на указанные вопросы приведены в главе 7 «Ответы на открытые вопросы».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168" w:name="__DdeLink__8277_2310833969_Copy_1_Copy_f"/>
      <w:r>
        <w:rPr>
          <w:rFonts w:ascii="Times New Roman" w:hAnsi="Times New Roman"/>
          <w:lang w:val="en-US"/>
        </w:rPr>
        <w:t xml:space="preserve">4. Выводы и рекомендации</w:t>
      </w:r>
      <w:bookmarkEnd w:id="168"/>
      <w:bookmarkEnd w:id="172"/>
    </w:p>
    <w:p>
      <w:pPr>
        <w:pStyle w:val="BodyText"/>
        <w:ind w:hanging="57" w:left="57"/>
        <w:jc w:val="center"/>
        <w:rPr>
          <w:lang w:val="en-US"/>
        </w:rPr>
      </w:pPr>
      <w:r>
        <w:rPr>
          <w:lang w:val="en-US"/>
        </w:rPr>
        <w:t xml:space="preserve"/>
        <w:pict>
          <v:shape type="#_x0000_t75" style="width:172mm;height:80.941176470588mm" stroked="f" filled="f">
            <v:imagedata r:id="rId17" o:title=""/>
          </v:shape>
        </w:pict>
        <w:t xml:space="preserve"/>
      </w:r>
      <w:bookmarkEnd w:id="176"/>
    </w:p>
    <w:p>
      <w:pPr>
        <w:pStyle w:val="BodyText"/>
        <w:ind w:hanging="57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4.1 - Средняя оценка удовлетворённости (по всем тематическим блокам показателей)</w:t>
      </w:r>
    </w:p>
    <w:p>
      <w:pPr/>
      <w:r>
        <w:rPr/>
        <w:t xml:space="preserve">Средняя оценка удовлетворённости студентов по блоку вопросов «Удовлетворённость организацией учебного процесса» равна 7.25, что является показателем повышенного уровня удовлетворённости (50-75%).</w:t>
      </w:r>
    </w:p>
    <w:p>
      <w:pPr/>
      <w:r>
        <w:rPr/>
        <w:t xml:space="preserve">Средняя оценка удовлетворённости студентов по блоку вопросов «Группа 2» не может быть определена, так как блок состоит только из вопросов открытого типа. Ответы респондентов на вопросы блока приведены в главе 7 «Ответы на открытые вопросы».</w:t>
      </w:r>
    </w:p>
    <w:p>
      <w:pPr/>
      <w:r>
        <w:rPr/>
        <w:t xml:space="preserve">По результатам исследования можно констатировать, что индекс удовлетворённости студентов равен </w:t>
      </w:r>
      <w:r>
        <w:rPr>
          <w:b w:val="1"/>
          <w:bCs w:val="1"/>
        </w:rPr>
        <w:t xml:space="preserve">7.25 (50-75%) </w:t>
      </w:r>
      <w:r>
        <w:rPr/>
        <w:t xml:space="preserve">(см. Рисунок 4.1), что является показателем повышенного уровня </w:t>
      </w:r>
      <w:r>
        <w:rPr/>
        <w:t xml:space="preserve">общей удовлетворённости по исследуемым образовательным программам.</w:t>
      </w:r>
    </w:p>
    <w:p>
      <w:pPr/>
      <w:r>
        <w:rPr/>
        <w:t xml:space="preserve">В целом, по результатам анкетирования наблюдается тенденция общей высокой удовлетворённости по исследуемым тематикам. Даётся высокая суммарная оценка по выделенным группам вопросов анкетирования.</w:t>
      </w:r>
    </w:p>
    <w:p>
      <w:pPr/>
      <w:r>
        <w:rPr/>
        <w:t xml:space="preserve">В качестве рекомендации по сохранению высокого уровня удовлетворённости можно отметить необходимость регулярного проведения анкетирования респондентов, что позволит минимизировать риски и будет способствовать принятию эффективных управленческих решений.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sz w:val="28"/>
          <w:szCs w:val="28"/>
        </w:rPr>
      </w:pPr>
      <w:bookmarkStart w:id="187" w:name="__DdeLink__8277_2310833969_Copy_1_Copy_e"/>
      <w:r>
        <w:rPr>
          <w:rFonts w:ascii="Times New Roman" w:hAnsi="Times New Roman"/>
          <w:sz w:val="28"/>
          <w:szCs w:val="28"/>
          <w:lang w:val="en-US"/>
        </w:rPr>
        <w:t xml:space="preserve">5. Рейтинг исследуемых образовательных программ</w:t>
      </w:r>
      <w:bookmarkEnd w:id="187"/>
      <w:bookmarkEnd w:id="190"/>
    </w:p>
    <w:tbl>
      <w:tblGrid>
        <w:gridCol w:w="1050" w:type="dxa"/>
        <w:gridCol w:w="5300" w:type="dxa"/>
        <w:gridCol w:w="1900" w:type="dxa"/>
        <w:gridCol w:w="1600" w:type="dxa"/>
      </w:tblGrid>
      <w:tblPr>
        <w:tblW w:w="0" w:type="auto"/>
        <w:tblLayout w:type="autofit"/>
        <w:tblCellMar>
          <w:top w:w="150" w:type="dxa"/>
          <w:left w:w="150" w:type="dxa"/>
          <w:right w:w="150" w:type="dxa"/>
          <w:bottom w:w="150" w:type="dxa"/>
        </w:tblCellMar>
      </w:tblP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Место</w:t>
            </w:r>
          </w:p>
        </w:tc>
        <w:tc>
          <w:tcPr>
            <w:tcW w:w="53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Образовательная программа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Количество респондентов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Индекс удовлет-</w:t>
            </w:r>
            <w:br/>
            <w:r>
              <w:rPr>
                <w:b w:val="1"/>
                <w:bCs w:val="1"/>
              </w:rPr>
              <w:t xml:space="preserve">воренности</w:t>
            </w:r>
          </w:p>
        </w:tc>
      </w:t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1</w:t>
            </w:r>
          </w:p>
        </w:tc>
        <w:tc>
          <w:tcPr>
            <w:tcW w:w="5300" w:type="dxa"/>
            <w:noWrap/>
          </w:tcPr>
          <w:p>
            <w:pPr>
              <w:jc w:val="left"/>
              <w:ind w:left="0" w:right="0" w:firstLine="0"/>
              <w:spacing w:line="241" w:lineRule="auto"/>
            </w:pPr>
            <w:r>
              <w:rPr/>
              <w:t xml:space="preserve">03.05.06 Информационные технологии в технических системах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1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7.5</w:t>
            </w:r>
          </w:p>
        </w:tc>
      </w:t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2</w:t>
            </w:r>
          </w:p>
        </w:tc>
        <w:tc>
          <w:tcPr>
            <w:tcW w:w="5300" w:type="dxa"/>
            <w:noWrap/>
          </w:tcPr>
          <w:p>
            <w:pPr>
              <w:jc w:val="left"/>
              <w:ind w:left="0" w:right="0" w:firstLine="0"/>
              <w:spacing w:line="241" w:lineRule="auto"/>
            </w:pPr>
            <w:r>
              <w:rPr/>
              <w:t xml:space="preserve">01.03.02 Программирование, математическое моделирование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1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7</w:t>
            </w:r>
          </w:p>
        </w:tc>
      </w:tr>
    </w:tbl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198" w:name="__DdeLink__8277_2310833969_Copy_1_Copy_g"/>
      <w:r>
        <w:rPr>
          <w:rFonts w:ascii="Times New Roman" w:hAnsi="Times New Roman"/>
          <w:lang w:val="en-US"/>
        </w:rPr>
        <w:t xml:space="preserve">6. Перечень показателей для оценки уровня удовлетворённости респондентов</w:t>
      </w:r>
      <w:bookmarkEnd w:id="198"/>
      <w:bookmarkEnd w:id="202"/>
    </w:p>
    <w:p>
      <w:pPr>
        <w:ind w:left="190" w:right="0" w:firstLine="566.92913385826762"/>
      </w:pPr>
      <w:r>
        <w:rPr>
          <w:b w:val="1"/>
          <w:bCs w:val="1"/>
        </w:rPr>
        <w:t xml:space="preserve">1. Удовлетворённость организацией учебного процесса</w:t>
      </w:r>
    </w:p>
    <w:p>
      <w:pPr>
        <w:ind w:left="190" w:right="0" w:firstLine="566.92913385826762"/>
      </w:pPr>
      <w:r>
        <w:rPr/>
        <w:t xml:space="preserve">1.1. Оцените профессиональную компетентность преподавателей</w:t>
      </w:r>
    </w:p>
    <w:p>
      <w:pPr>
        <w:ind w:left="190" w:right="0" w:firstLine="566.92913385826762"/>
      </w:pPr>
      <w:r>
        <w:rPr/>
        <w:t xml:space="preserve">1.2. Оцените доступность учебной и методической литературы в библиотеке и в электронной образовательной среде (например, на платформе Moodle)</w:t>
      </w:r>
    </w:p>
    <w:p>
      <w:pPr>
        <w:ind w:left="190" w:right="0" w:firstLine="566.92913385826762"/>
      </w:pPr>
      <w:r>
        <w:rPr/>
        <w:t xml:space="preserve">1.3. Открытый вопрос 1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 Группа 2</w:t>
      </w:r>
    </w:p>
    <w:p>
      <w:pPr>
        <w:ind w:left="190" w:right="0" w:firstLine="566.92913385826762"/>
      </w:pPr>
      <w:r>
        <w:rPr/>
        <w:t xml:space="preserve">2.1. Открытый вопрос 2</w:t>
      </w:r>
    </w:p>
    <w:p>
      <w:pPr>
        <w:ind w:left="190" w:right="0" w:firstLine="566.92913385826762"/>
      </w:pPr>
      <w:r>
        <w:rPr/>
        <w:t xml:space="preserve">2.2. Открытый вопрос 3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209" w:name="__DdeLink__8277_2310833969_Copy_1_Copy_h"/>
      <w:r>
        <w:rPr>
          <w:rFonts w:ascii="Times New Roman" w:hAnsi="Times New Roman"/>
          <w:lang w:val="en-US"/>
        </w:rPr>
        <w:t xml:space="preserve">6. Ответы на открытые вопросы</w:t>
      </w:r>
      <w:bookmarkEnd w:id="209"/>
      <w:bookmarkEnd w:id="211"/>
      <w:bookmarkEnd w:id="212"/>
      <w:bookmarkEnd w:id="215"/>
    </w:p>
    <w:p>
      <w:pPr>
        <w:ind w:left="190" w:right="0" w:firstLine="566.92913385826762"/>
      </w:pPr>
      <w:r>
        <w:rPr>
          <w:b w:val="1"/>
          <w:bCs w:val="1"/>
        </w:rPr>
        <w:t xml:space="preserve">1. Блок вопросов «Удовлетворённость организацией учебного процесса»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 Вопрос «Открытый вопрос 1»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1.1.1. Ответы респондентов, выбравших вариант ответа «1 курс» на вопрос «Укажите ваш курс»:</w:t>
      </w:r>
    </w:p>
    <w:p>
      <w:pPr>
        <w:ind w:left="190" w:right="0" w:firstLine="566.92913385826762"/>
      </w:pPr>
      <w:r>
        <w:rPr/>
        <w:t xml:space="preserve">1. выффывфы вфывыф</w:t>
      </w:r>
    </w:p>
    <w:p>
      <w:pPr>
        <w:ind w:left="190" w:right="0" w:firstLine="566.92913385826762"/>
      </w:pPr>
      <w:r>
        <w:rPr/>
        <w:t xml:space="preserve">2. сссссссссссссссс1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1.1.2. Ответы респондентов, выбравших вариант ответа «2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1.1.3. Ответы респондентов, выбравших вариант ответа «3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1.1.4. Ответы респондентов, выбравших вариант ответа «4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1.1.5. Ответы респондентов, выбравших вариант ответа «5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 Блок вопросов «Группа 2»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 Вопрос «Открытый вопрос 2»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2.1.1. Ответы респондентов, выбравших вариант ответа «1 курс» на вопрос «Укажите ваш курс»:</w:t>
      </w:r>
    </w:p>
    <w:p>
      <w:pPr>
        <w:ind w:left="190" w:right="0" w:firstLine="566.92913385826762"/>
      </w:pPr>
      <w:r>
        <w:rPr/>
        <w:t xml:space="preserve">1.  выфв фы фы </w:t>
      </w:r>
    </w:p>
    <w:p>
      <w:pPr>
        <w:ind w:left="190" w:right="0" w:firstLine="566.92913385826762"/>
      </w:pPr>
      <w:r>
        <w:rPr/>
        <w:t xml:space="preserve">2. 2сссссссссссссссссссссс2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2.1.2. Ответы респондентов, выбравших вариант ответа «2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2.1.3. Ответы респондентов, выбравших вариант ответа «3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2.1.4. Ответы респондентов, выбравших вариант ответа «4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2.1.5. Ответы респондентов, выбравших вариант ответа «5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 Вопрос «Открытый вопрос 3»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2.2.1. Ответы респондентов, выбравших вариант ответа «1 курс» на вопрос «Укажите ваш курс»:</w:t>
      </w:r>
    </w:p>
    <w:p>
      <w:pPr>
        <w:ind w:left="190" w:right="0" w:firstLine="566.92913385826762"/>
      </w:pPr>
      <w:r>
        <w:rPr/>
        <w:t xml:space="preserve">1. фы вфы вфыв ы</w:t>
      </w:r>
    </w:p>
    <w:p>
      <w:pPr>
        <w:ind w:left="190" w:right="0" w:firstLine="566.92913385826762"/>
      </w:pPr>
      <w:r>
        <w:rPr/>
        <w:t xml:space="preserve">2. сссссссссссссссссссссссссс3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2.2.2. Ответы респондентов, выбравших вариант ответа «2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2.2.3. Ответы респондентов, выбравших вариант ответа «3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2.2.4. Ответы респондентов, выбравших вариант ответа «4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p>
      <w:pPr>
        <w:ind w:left="190" w:right="0" w:firstLine="566.92913385826762"/>
      </w:pPr>
      <w:r>
        <w:rPr>
          <w:b w:val="1"/>
          <w:bCs w:val="1"/>
        </w:rPr>
        <w:t xml:space="preserve">2.2.5. Ответы респондентов, выбравших вариант ответа «5 курс» на вопрос «Укажите ваш курс»:</w:t>
      </w:r>
    </w:p>
    <w:p>
      <w:pPr>
        <w:ind w:left="190" w:right="0" w:firstLine="566.92913385826762"/>
      </w:pPr>
      <w:r>
        <w:rPr/>
        <w:t xml:space="preserve">Ответы отсутствуют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posOffset>3810</wp:posOffset>
              </wp:positionH>
              <wp:positionV relativeFrom="paragraph">
                <wp:posOffset>2540</wp:posOffset>
              </wp:positionV>
              <wp:extent cx="6134100" cy="758190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040" cy="75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Footer"/>
                            <w:jc w:val="right"/>
                            <w:rPr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.3pt;margin-top:0.2pt;width:482.95pt;height:59.65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Footer"/>
                      <w:jc w:val="right"/>
                      <w:rPr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0230" cy="17526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032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168.5pt;margin-top:0.05pt;width:144.85pt;height:13.7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360" w:before="0" w:after="0"/>
      <w:ind w:firstLine="709" w:left="57"/>
      <w:jc w:val="both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240" w:after="0"/>
      <w:outlineLvl w:val="0"/>
    </w:pPr>
    <w:rPr>
      <w:rFonts w:eastAsia="SimSun" w:cs="Mangal"/>
      <w:sz w:val="32"/>
      <w:szCs w:val="29"/>
    </w:rPr>
  </w:style>
  <w:style w:type="paragraph" w:styleId="Heading2">
    <w:name w:val="heading 2"/>
    <w:basedOn w:val="Normal"/>
    <w:next w:val="Normal"/>
    <w:link w:val="21"/>
    <w:qFormat/>
    <w:pPr>
      <w:keepNext w:val="true"/>
      <w:keepLines/>
      <w:spacing w:before="40" w:after="0"/>
      <w:outlineLvl w:val="1"/>
    </w:pPr>
    <w:rPr>
      <w:rFonts w:eastAsia="SimSun" w:cs="Mangal"/>
      <w:sz w:val="26"/>
      <w:szCs w:val="23"/>
    </w:rPr>
  </w:style>
  <w:style w:type="paragraph" w:styleId="Heading3">
    <w:name w:val="heading 3"/>
    <w:basedOn w:val="Heading"/>
    <w:next w:val="BodyText"/>
    <w:link w:val="31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2E74B5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2E74B5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2E74B5"/>
      <w:sz w:val="32"/>
      <w:szCs w:val="32"/>
    </w:rPr>
  </w:style>
  <w:style w:type="character" w:styleId="31" w:customStyle="1">
    <w:name w:val="Заголовок 3 Знак1"/>
    <w:basedOn w:val="DefaultParagraphFont"/>
    <w:link w:val="Heading3"/>
    <w:uiPriority w:val="9"/>
    <w:qFormat/>
    <w:rPr>
      <w:rFonts w:ascii="Arial" w:hAnsi="Arial" w:eastAsia="Arial" w:cs="Arial"/>
      <w:color w:themeColor="accent1" w:themeShade="bf" w:val="2E74B5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qFormat/>
    <w:rPr>
      <w:rFonts w:ascii="Arial" w:hAnsi="Arial" w:eastAsia="Arial" w:cs="Arial"/>
      <w:i/>
      <w:iCs/>
      <w:color w:themeColor="accent1" w:themeShade="bf" w:val="2E74B5"/>
    </w:rPr>
  </w:style>
  <w:style w:type="character" w:styleId="5" w:customStyle="1">
    <w:name w:val="Заголовок 5 Знак"/>
    <w:basedOn w:val="DefaultParagraphFont"/>
    <w:link w:val="Heading5"/>
    <w:uiPriority w:val="9"/>
    <w:qFormat/>
    <w:rPr>
      <w:rFonts w:ascii="Arial" w:hAnsi="Arial" w:eastAsia="Arial" w:cs="Arial"/>
      <w:color w:themeColor="accent1" w:themeShade="bf" w:val="2E74B5"/>
    </w:rPr>
  </w:style>
  <w:style w:type="character" w:styleId="6" w:customStyle="1">
    <w:name w:val="Заголовок 6 Знак"/>
    <w:basedOn w:val="DefaultParagraphFont"/>
    <w:link w:val="Heading6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link w:val="Heading7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8" w:customStyle="1">
    <w:name w:val="Заголовок 8 Знак"/>
    <w:basedOn w:val="DefaultParagraphFont"/>
    <w:link w:val="Heading8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link w:val="Heading9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Style5" w:customStyle="1">
    <w:name w:val="Заголовок Знак"/>
    <w:basedOn w:val="DefaultParagraphFont"/>
    <w:link w:val="Title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2" w:customStyle="1">
    <w:name w:val="Цитата 2 Знак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2E74B5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themeColor="accent1" w:themeShade="bf" w:val="2E74B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2E74B5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Style8" w:customStyle="1">
    <w:name w:val="Верхний колонтитул Знак"/>
    <w:basedOn w:val="DefaultParagraphFont"/>
    <w:link w:val="Header"/>
    <w:uiPriority w:val="99"/>
    <w:qFormat/>
    <w:rPr/>
  </w:style>
  <w:style w:type="character" w:styleId="Style9" w:customStyle="1">
    <w:name w:val="Нижний колонтитул Знак"/>
    <w:basedOn w:val="DefaultParagraphFont"/>
    <w:link w:val="Footer"/>
    <w:uiPriority w:val="99"/>
    <w:qFormat/>
    <w:rPr/>
  </w:style>
  <w:style w:type="character" w:styleId="Style10" w:customStyle="1">
    <w:name w:val="Текст сноски Знак"/>
    <w:basedOn w:val="DefaultParagraphFont"/>
    <w:link w:val="FootnoteText"/>
    <w:uiPriority w:val="99"/>
    <w:semiHidden/>
    <w:qFormat/>
    <w:rPr>
      <w:sz w:val="20"/>
      <w:szCs w:val="20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FootnoteCharacters6">
    <w:name w:val="Footnote Characters6"/>
    <w:qFormat/>
    <w:rPr>
      <w:vertAlign w:val="superscript"/>
    </w:rPr>
  </w:style>
  <w:style w:type="character" w:styleId="FootnoteCharacters7">
    <w:name w:val="Footnote Characters7"/>
    <w:qFormat/>
    <w:rPr>
      <w:vertAlign w:val="superscript"/>
    </w:rPr>
  </w:style>
  <w:style w:type="character" w:styleId="FootnoteCharacters8">
    <w:name w:val="Footnote Characters8"/>
    <w:qFormat/>
    <w:rPr>
      <w:vertAlign w:val="superscript"/>
    </w:rPr>
  </w:style>
  <w:style w:type="character" w:styleId="FootnoteCharacters9">
    <w:name w:val="Footnote Characters9"/>
    <w:qFormat/>
    <w:rPr>
      <w:vertAlign w:val="superscript"/>
    </w:rPr>
  </w:style>
  <w:style w:type="character" w:styleId="FootnoteCharacters10">
    <w:name w:val="Footnote Characters10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2">
    <w:name w:val="Footnote Characters12"/>
    <w:qFormat/>
    <w:rPr>
      <w:vertAlign w:val="superscript"/>
    </w:rPr>
  </w:style>
  <w:style w:type="character" w:styleId="FootnoteCharacters13">
    <w:name w:val="Footnote Characters13"/>
    <w:qFormat/>
    <w:rPr>
      <w:vertAlign w:val="superscript"/>
    </w:rPr>
  </w:style>
  <w:style w:type="character" w:styleId="FootnoteCharacters14">
    <w:name w:val="Footnote Characters14"/>
    <w:qFormat/>
    <w:rPr>
      <w:vertAlign w:val="superscript"/>
    </w:rPr>
  </w:style>
  <w:style w:type="character" w:styleId="FootnoteCharacters15">
    <w:name w:val="Footnote Characters15"/>
    <w:qFormat/>
    <w:rPr>
      <w:vertAlign w:val="superscript"/>
    </w:rPr>
  </w:style>
  <w:style w:type="character" w:styleId="FootnoteCharacters16">
    <w:name w:val="Footnote Characters16"/>
    <w:qFormat/>
    <w:rPr>
      <w:vertAlign w:val="superscript"/>
    </w:rPr>
  </w:style>
  <w:style w:type="character" w:styleId="FootnoteCharacters17">
    <w:name w:val="Footnote Characters17"/>
    <w:qFormat/>
    <w:rPr>
      <w:vertAlign w:val="superscript"/>
    </w:rPr>
  </w:style>
  <w:style w:type="character" w:styleId="FootnoteCharacters18">
    <w:name w:val="Footnote Characters18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basedOn w:val="DefaultParagraphFont"/>
    <w:link w:val="EndnoteText"/>
    <w:uiPriority w:val="99"/>
    <w:semiHidden/>
    <w:qFormat/>
    <w:rPr>
      <w:sz w:val="20"/>
      <w:szCs w:val="20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EndnoteCharacters7">
    <w:name w:val="Endnote Characters7"/>
    <w:qFormat/>
    <w:rPr>
      <w:vertAlign w:val="superscript"/>
    </w:rPr>
  </w:style>
  <w:style w:type="character" w:styleId="EndnoteCharacters8">
    <w:name w:val="Endnote Characters8"/>
    <w:qFormat/>
    <w:rPr>
      <w:vertAlign w:val="superscript"/>
    </w:rPr>
  </w:style>
  <w:style w:type="character" w:styleId="EndnoteCharacters9">
    <w:name w:val="Endnote Characters9"/>
    <w:qFormat/>
    <w:rPr>
      <w:vertAlign w:val="superscript"/>
    </w:rPr>
  </w:style>
  <w:style w:type="character" w:styleId="EndnoteCharacters10">
    <w:name w:val="Endnote Characters10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2">
    <w:name w:val="Endnote Characters12"/>
    <w:qFormat/>
    <w:rPr>
      <w:vertAlign w:val="superscript"/>
    </w:rPr>
  </w:style>
  <w:style w:type="character" w:styleId="EndnoteCharacters13">
    <w:name w:val="Endnote Characters13"/>
    <w:qFormat/>
    <w:rPr>
      <w:vertAlign w:val="superscript"/>
    </w:rPr>
  </w:style>
  <w:style w:type="character" w:styleId="EndnoteCharacters14">
    <w:name w:val="Endnote Characters14"/>
    <w:qFormat/>
    <w:rPr>
      <w:vertAlign w:val="superscript"/>
    </w:rPr>
  </w:style>
  <w:style w:type="character" w:styleId="EndnoteCharacters15">
    <w:name w:val="Endnote Characters15"/>
    <w:qFormat/>
    <w:rPr>
      <w:vertAlign w:val="superscript"/>
    </w:rPr>
  </w:style>
  <w:style w:type="character" w:styleId="EndnoteCharacters16">
    <w:name w:val="Endnote Characters16"/>
    <w:qFormat/>
    <w:rPr>
      <w:vertAlign w:val="superscript"/>
    </w:rPr>
  </w:style>
  <w:style w:type="character" w:styleId="EndnoteCharacters17">
    <w:name w:val="Endnote Characters17"/>
    <w:qFormat/>
    <w:rPr>
      <w:vertAlign w:val="superscript"/>
    </w:rPr>
  </w:style>
  <w:style w:type="character" w:styleId="EndnoteCharacters18">
    <w:name w:val="Endnote Characters18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21" w:customStyle="1">
    <w:name w:val="Заголовок 2 Знак"/>
    <w:basedOn w:val="DefaultParagraphFont"/>
    <w:link w:val="Heading2"/>
    <w:qFormat/>
    <w:rPr>
      <w:rFonts w:ascii="Times New Roman" w:hAnsi="Times New Roman" w:eastAsia="SimSun" w:cs="Mangal"/>
      <w:sz w:val="26"/>
      <w:szCs w:val="23"/>
    </w:rPr>
  </w:style>
  <w:style w:type="character" w:styleId="1" w:customStyle="1">
    <w:name w:val="Заголовок 1 Знак"/>
    <w:basedOn w:val="DefaultParagraphFont"/>
    <w:link w:val="Heading1"/>
    <w:qFormat/>
    <w:rPr>
      <w:rFonts w:ascii="Times New Roman" w:hAnsi="Times New Roman" w:eastAsia="SimSun" w:cs="Mangal"/>
      <w:sz w:val="32"/>
      <w:szCs w:val="29"/>
    </w:rPr>
  </w:style>
  <w:style w:type="character" w:styleId="3" w:customStyle="1">
    <w:name w:val="Заголовок 3 Знак"/>
    <w:qFormat/>
    <w:rPr>
      <w:b/>
      <w:bCs/>
      <w:sz w:val="24"/>
      <w:szCs w:val="24"/>
      <w:lang w:val="ru-RU" w:bidi="ar-SA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Sans NF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NotoSans NF"/>
    </w:rPr>
  </w:style>
  <w:style w:type="paragraph" w:styleId="Subtitle">
    <w:name w:val="Subtitle"/>
    <w:basedOn w:val="Normal"/>
    <w:next w:val="Normal"/>
    <w:link w:val="Style6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E74B5"/>
    </w:rPr>
  </w:style>
  <w:style w:type="paragraph" w:styleId="NoSpacing">
    <w:name w:val="No Spacing"/>
    <w:basedOn w:val="Normal"/>
    <w:uiPriority w:val="1"/>
    <w:qFormat/>
    <w:pPr>
      <w:spacing w:lineRule="auto" w:line="24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IndexHeading">
    <w:name w:val="index heading"/>
    <w:basedOn w:val="Normal"/>
    <w:next w:val="Index1"/>
    <w:pPr>
      <w:suppressLineNumbers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Index1">
    <w:name w:val="index 1"/>
    <w:basedOn w:val="Normal"/>
    <w:next w:val="Normal"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8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Footer">
    <w:name w:val="footer"/>
    <w:basedOn w:val="Normal"/>
    <w:link w:val="Style9"/>
    <w:uiPriority w:val="9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360" w:before="0" w:after="0"/>
      <w:ind w:firstLine="720"/>
      <w:jc w:val="both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styleId="23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Relationship Id="rId9" Type="http://schemas.openxmlformats.org/officeDocument/2006/relationships/image" Target="media/image_rId9_document.png"/><Relationship Id="rId10" Type="http://schemas.openxmlformats.org/officeDocument/2006/relationships/image" Target="media/image_rId10_document.png"/><Relationship Id="rId11" Type="http://schemas.openxmlformats.org/officeDocument/2006/relationships/image" Target="media/image_rId11_document.png"/><Relationship Id="rId12" Type="http://schemas.openxmlformats.org/officeDocument/2006/relationships/image" Target="media/image_rId11_document.png"/><Relationship Id="rId13" Type="http://schemas.openxmlformats.org/officeDocument/2006/relationships/image" Target="media/image_rId11_document.png"/><Relationship Id="rId14" Type="http://schemas.openxmlformats.org/officeDocument/2006/relationships/image" Target="media/image_rId11_document.png"/><Relationship Id="rId15" Type="http://schemas.openxmlformats.org/officeDocument/2006/relationships/image" Target="media/image_rId10_document.png"/><Relationship Id="rId16" Type="http://schemas.openxmlformats.org/officeDocument/2006/relationships/image" Target="media/image_rId16_document.png"/><Relationship Id="rId17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LibreOffice/24.8.1.2$Linux_X86_64 LibreOffice_project/480$Build-2</Application>
  <AppVersion>15.0000</AppVersion>
  <Pages>4</Pages>
  <Words>118</Words>
  <Characters>1445</Characters>
  <CharactersWithSpaces>1535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2024-09-07T18:35:00Z</dcterms:created>
  <dc:creator>artem</dc:creator>
  <dc:description/>
  <dc:language>ru-RU</dc:language>
  <cp:lastModifiedBy/>
  <dcterms:modified xsi:type="dcterms:W3CDTF">2025-03-19T14:24:54Z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